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righ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/>
        <w:drawing>
          <wp:inline distT="0" distB="0" distL="0" distR="0">
            <wp:extent cx="1097280" cy="310896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1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i w:val="false"/>
          <w:b w:val="true"/>
          <w:u w:val="none"/>
          <w:strike w:val="false"/>
          <w:sz w:val="17"/>
          <w:szCs w:val="17"/>
          <w:color w:val="62584B"/>
        </w:rPr>
        <w:t xml:space="preserve">  Thèse-Médecine.fr | Document fictif généré pour exemple</w:t>
      </w:r>
    </w:p>
    <w:p>
      <w:pPr>
        <w:pStyle w:val="Normal"/>
      </w:pPr>
      <w:r>
        <w:t xml:space="preserve"/>
      </w:r>
    </w:p>
    <w:p>
      <w:pPr>
        <w:pStyle w:val="Titre1"/>
      </w:pPr>
      <w:r>
        <w:t xml:space="preserve">Tableau 2. Comparaison selon l'exposition principale</w:t>
      </w:r>
    </w:p>
    <w:p>
      <w:pPr>
        <w:pStyle w:val="Normal"/>
      </w:pPr>
      <w:r>
        <w:t xml:space="preserve">Données fictives à visée démonstrative. Les valeurs ne correspondent à aucun patient réel.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rHeight w:val="518" w:hRule="auto"/>
          <w:tblHeader/>
        </w:trPr>
        <w:tc>
          <w:tcPr>
            <w:tcBorders>
              <w:bottom w:val="none" w:sz="0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 </w:t>
            </w:r>
          </w:p>
        </w:tc>
        <w:tc>
          <w:tcPr>
            <w:gridSpan w:val="3"/>
            <w:tcBorders>
              <w:bottom w:val="none" w:sz="0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Antibioprophylaxie conforme</w:t>
            </w:r>
          </w:p>
        </w:tc>
        <w:tc>
          <w:tcPr>
            <w:tcBorders>
              <w:bottom w:val="none" w:sz="0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 </w:t>
            </w:r>
          </w:p>
        </w:tc>
      </w:tr>
      <w:tr>
        <w:trPr>
          <w:trHeight w:val="604" w:hRule="auto"/>
          <w:tblHeader/>
        </w:trPr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Critère</w:t>
            </w:r>
          </w:p>
        </w:tc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Total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&lt;br&gt;N = 240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vertAlign w:val="superscript"/>
                <w:sz w:val="17"/>
                <w:szCs w:val="17"/>
                <w:color w:val="FFFFFF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Non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  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br/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N = 65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vertAlign w:val="superscript"/>
                <w:sz w:val="17"/>
                <w:szCs w:val="17"/>
                <w:color w:val="FFFFFF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Oui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  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br/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N = 175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vertAlign w:val="superscript"/>
                <w:sz w:val="17"/>
                <w:szCs w:val="17"/>
                <w:color w:val="FFFFFF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p-valeur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vertAlign w:val="superscript"/>
                <w:sz w:val="17"/>
                <w:szCs w:val="17"/>
                <w:color w:val="FFFFFF"/>
              </w:rPr>
              <w:t xml:space="preserve">2</w:t>
            </w:r>
          </w:p>
        </w:tc>
      </w:tr>
      <w:tr>
        <w:trPr>
          <w:trHeight w:val="519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Complication à 30 jours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p=0,031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195 (81,3 %)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47 (72,3 %)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148 (84,6 %)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45 (18,8 %)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18 (27,7 %)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27 (15,4 %)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9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Réadmission à 30 jours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p=0,886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213 (88,8 %)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58 (89,2 %)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155 (88,6 %)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27 (11,3 %)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7 (10,8 %)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20 (11,4 %)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9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Durée de séjour, jours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2,8 [2,0; 4,1]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3,3 [2,2; 4,4]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2,7 [2,0; 4,0]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p=0,176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CRP à J1, mg/L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53,0 [37,0; 84,0]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61,0 [41,0; 88,0]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49,5 [34,5; 82,0]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p=0,099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Donnée manquante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Durée d'intervention, min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87,0 [72,0; 102,0]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86,5 [76,0; 104,0]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87,0 [71,0; 101,0]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p=0,687</w:t>
            </w:r>
          </w:p>
        </w:tc>
      </w:tr>
      <w:tr>
        <w:trPr>
          <w:trHeight w:val="520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Donnée manquante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360" w:hRule="auto"/>
        </w:trPr>
        <w:tc>
          <w:tcPr>
            <w:gridSpan w:val="5"/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vertAlign w:val="superscript"/>
                <w:sz w:val="17"/>
                <w:szCs w:val="17"/>
                <w:color w:val="000000"/>
              </w:rPr>
              <w:t xml:space="preserve">1</w:t>
            </w: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n (% %); Médiane [Q1; Q3]</w:t>
            </w:r>
          </w:p>
        </w:tc>
      </w:tr>
      <w:tr>
        <w:trPr>
          <w:trHeight w:val="360" w:hRule="auto"/>
        </w:trPr>
        <w:tc>
          <w:tcPr>
            <w:gridSpan w:val="5"/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vertAlign w:val="superscript"/>
                <w:sz w:val="17"/>
                <w:szCs w:val="17"/>
                <w:color w:val="000000"/>
              </w:rPr>
              <w:t xml:space="preserve">2</w:t>
            </w: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test du khi-deux d'indépendance; test de Wilcoxon-Mann-Whitney</w:t>
            </w:r>
          </w:p>
        </w:tc>
      </w:tr>
    </w:tbl>
    <w:p>
      <w:pPr>
        <w:pStyle w:val="Normal"/>
      </w:pPr>
      <w:r>
        <w:t xml:space="preserve">Données fictives. Ce tableau présente le critère principal et les critères secondaires selon l'exposition principale.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5f34259cf23043fc1b7c8b9b23bc0f9b61a0fc27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jeremy</cp:lastModifiedBy>
  <cp:revision>9</cp:revision>
  <dcterms:created xsi:type="dcterms:W3CDTF">2017-02-28T11:18:00Z</dcterms:created>
  <dcterms:modified xsi:type="dcterms:W3CDTF">2026-06-01T20:52:08Z</dcterms:modified>
  <cp:category/>
</cp:coreProperties>
</file>