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/>
        <w:drawing>
          <wp:inline distT="0" distB="0" distL="0" distR="0">
            <wp:extent cx="1097280" cy="310896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7"/>
          <w:szCs w:val="17"/>
          <w:color w:val="62584B"/>
        </w:rPr>
        <w:t xml:space="preserve">  Thèse-Médecine.fr | Document fictif généré pour exemple</w:t>
      </w:r>
    </w:p>
    <w:p>
      <w:pPr>
        <w:pStyle w:val="Normal"/>
      </w:pPr>
      <w:r>
        <w:t xml:space="preserve"/>
      </w:r>
    </w:p>
    <w:p>
      <w:pPr>
        <w:pStyle w:val="Titre1"/>
      </w:pPr>
      <w:r>
        <w:t xml:space="preserve">Tableau 1. Caractéristiques de la population</w:t>
      </w:r>
    </w:p>
    <w:p>
      <w:pPr>
        <w:pStyle w:val="Normal"/>
      </w:pPr>
      <w:r>
        <w:t xml:space="preserve">Données fictives à visée démonstrative. Les valeurs ne correspondent à aucun patient réel.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5000"/>
        <w:tblLook w:firstRow="1" w:lastRow="0" w:firstColumn="0" w:lastColumn="0" w:noHBand="0" w:noVBand="1"/>
      </w:tblPr>
      <w:tr>
        <w:trPr>
          <w:trHeight w:val="519" w:hRule="auto"/>
          <w:tblHeader/>
        </w:trPr>
        <w:tc>
          <w:tcPr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</w:t>
            </w:r>
          </w:p>
        </w:tc>
        <w:tc>
          <w:tcPr>
            <w:gridSpan w:val="3"/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Complication à 30 jours</w:t>
            </w:r>
          </w:p>
        </w:tc>
        <w:tc>
          <w:tcPr>
            <w:tcBorders>
              <w:bottom w:val="none" w:sz="0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</w:t>
            </w:r>
          </w:p>
        </w:tc>
      </w:tr>
      <w:tr>
        <w:trPr>
          <w:trHeight w:val="604" w:hRule="auto"/>
          <w:tblHeader/>
        </w:trPr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Variable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Total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&lt;br&gt;N = 240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Non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 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br/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 = 195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Oui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  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br/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N = 45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666666"/>
              <w:left w:val="none" w:sz="0" w:space="0" w:color="000000"/>
              <w:right w:val="none" w:sz="0" w:space="0" w:color="000000"/>
            </w:tcBorders>
            <w:shd w:val="clear" w:color="auto" w:fill="225A79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FFFFFF"/>
              </w:rPr>
              <w:t xml:space="preserve">p-valeur</w:t>
            </w: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vertAlign w:val="superscript"/>
                <w:sz w:val="17"/>
                <w:szCs w:val="17"/>
                <w:color w:val="FFFFFF"/>
              </w:rPr>
              <w:t xml:space="preserve">2</w:t>
            </w:r>
          </w:p>
        </w:tc>
      </w:tr>
      <w:tr>
        <w:trPr>
          <w:trHeight w:val="548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Âge, années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64,0 [55,5; 72,0]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62,0 [53,0; 71,0]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71,0 [62,0; 78,0]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p&lt;0,001</w:t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Sexe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p=0,634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Femme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115 (47,9 %)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92 (47,2 %)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23 (51,1 %)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Homme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125 (52,1 %)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103 (52,8 %)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22 (48,9 %)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IMC, kg/m²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28,3 [25,4; 31,5]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28,1 [25,3; 30,8]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30,3 [26,6; 32,4]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p=0,035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Diabète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p&lt;0,001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196 (81,7 %)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167 (85,6 %)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29 (64,4 %)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44 (18,3 %)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28 (14,4 %)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16 (35,6 %)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3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Score ASA III-IV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p=0,002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153 (64,3 %)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133 (68,9 %)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20 (44,4 %)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85 (35,7 %)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60 (31,1 %)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25 (55,6 %)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Score de fragilité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1,0 [1,0; 3,0]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1,0 [1,0; 2,0]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2,0 [1,0; 4,0]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p&lt;0,001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Chirurgie en urgence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p&lt;0,001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133 (55,4 %)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118 (60,5 %)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15 (33,3 %)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107 (44,6 %)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77 (39,5 %)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30 (66,7 %)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Antibioprophylaxie conforme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p=0,031</w:t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Non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65 (27,1 %)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47 (24,1 %)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18 (40,0 %)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Oui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175 (72,9 %)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148 (75,9 %)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27 (60,0 %)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18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Durée d'intervention, min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87,0 [72,0; 102,0]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85,0 [69,0; 100,0]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98,0 [84,0; 117,0]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p&lt;0,001</w:t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52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7"/>
                <w:szCs w:val="17"/>
                <w:color w:val="111111"/>
              </w:rPr>
              <w:t xml:space="preserve">CRP à J1, mg/L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53,0 [37,0; 84,0]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53,0 [37,0; 80,5]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52,0 [35,0; 89,0]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p=0,805</w:t>
            </w:r>
          </w:p>
        </w:tc>
      </w:tr>
      <w:tr>
        <w:trPr>
          <w:trHeight w:val="52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Donnée manquante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11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>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111111"/>
              </w:rPr>
              <w:t xml:space="preserve"/>
            </w:r>
          </w:p>
        </w:tc>
      </w:tr>
      <w:tr>
        <w:trPr>
          <w:trHeight w:val="360" w:hRule="auto"/>
        </w:trPr>
        <w:tc>
          <w:tcPr>
            <w:gridSpan w:val="5"/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vertAlign w:val="superscript"/>
                <w:sz w:val="17"/>
                <w:szCs w:val="17"/>
                <w:color w:val="000000"/>
              </w:rPr>
              <w:t xml:space="preserve">1</w:t>
            </w: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Médiane [Q1; Q3]; n (% %)</w:t>
            </w:r>
          </w:p>
        </w:tc>
      </w:tr>
      <w:tr>
        <w:trPr>
          <w:trHeight w:val="360" w:hRule="auto"/>
        </w:trPr>
        <w:tc>
          <w:tcPr>
            <w:gridSpan w:val="5"/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240"/>
              <w:ind w:left="80" w:right="8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vertAlign w:val="superscript"/>
                <w:sz w:val="17"/>
                <w:szCs w:val="17"/>
                <w:color w:val="000000"/>
              </w:rPr>
              <w:t xml:space="preserve">2</w:t>
            </w: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7"/>
                <w:szCs w:val="17"/>
                <w:color w:val="000000"/>
              </w:rPr>
              <w:t xml:space="preserve">test de Wilcoxon-Mann-Whitney; test du khi-deux d'indépendance</w:t>
            </w:r>
          </w:p>
        </w:tc>
      </w:tr>
    </w:tbl>
    <w:p>
      <w:pPr>
        <w:pStyle w:val="Normal"/>
      </w:pPr>
      <w:r>
        <w:t xml:space="preserve">Données fictives. Ce tableau présente les effectifs, pourcentages, médianes, intervalles interquartiles, données manquantes et p-values.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5f34259cf23043fc1b7c8b9b23bc0f9b61a0fc27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jeremy</cp:lastModifiedBy>
  <cp:revision>9</cp:revision>
  <dcterms:created xsi:type="dcterms:W3CDTF">2017-02-28T11:18:00Z</dcterms:created>
  <dcterms:modified xsi:type="dcterms:W3CDTF">2026-06-01T20:52:07Z</dcterms:modified>
  <cp:category/>
</cp:coreProperties>
</file>